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方正小标宋简体" w:eastAsia="方正小标宋简体"/>
          <w:b/>
          <w:color w:val="FF0000"/>
          <w:spacing w:val="80"/>
          <w:sz w:val="92"/>
          <w:szCs w:val="92"/>
        </w:rPr>
      </w:pPr>
      <w:bookmarkStart w:id="0" w:name="OLE_LINK1"/>
      <w:bookmarkStart w:id="1" w:name="_Toc26531"/>
      <w:bookmarkStart w:id="2" w:name="_Toc13648"/>
      <w:bookmarkStart w:id="3" w:name="_Toc9012"/>
      <w:r>
        <w:rPr>
          <w:rFonts w:hint="eastAsia" w:ascii="方正小标宋简体" w:eastAsia="方正小标宋简体"/>
          <w:b/>
          <w:color w:val="FF0000"/>
          <w:spacing w:val="80"/>
          <w:sz w:val="92"/>
          <w:szCs w:val="92"/>
        </w:rPr>
        <w:t>北海艺术设计学院</w:t>
      </w:r>
    </w:p>
    <w:p>
      <w:pPr>
        <w:adjustRightInd w:val="0"/>
        <w:snapToGrid w:val="0"/>
        <w:spacing w:line="570" w:lineRule="exact"/>
        <w:jc w:val="center"/>
        <w:rPr>
          <w:rFonts w:ascii="微软雅黑" w:hAnsi="微软雅黑" w:eastAsia="微软雅黑"/>
          <w:b/>
          <w:bCs/>
          <w:color w:val="auto"/>
          <w:sz w:val="32"/>
          <w:szCs w:val="32"/>
          <w:shd w:val="clear" w:color="auto" w:fill="FFFFFF"/>
        </w:rPr>
      </w:pPr>
      <w:r>
        <w:rPr>
          <w:rFonts w:hint="eastAsia"/>
          <w:color w:val="aut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393065</wp:posOffset>
                </wp:positionV>
                <wp:extent cx="5633720" cy="14605"/>
                <wp:effectExtent l="0" t="19050" r="5080" b="2349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5633720" cy="14605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0.95pt;height:1.15pt;width:443.6pt;z-index:251660288;mso-width-relative:page;mso-height-relative:page;" filled="f" stroked="t" coordsize="21600,21600" o:gfxdata="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BmGmoXZAAAABgEAAA8AAAAAAAAA&#10;AQAgAAAAIgAAAGRycy9kb3ducmV2LnhtbFBLAQIUABQAAAAIAIdO4kDPp5lh1wEAAIsDAAAOAAAA&#10;AAAAAAEAIAAAACgBAABkcnMvZTJvRG9jLnhtbFBLBQYAAAAABgAGAFkBAABxBQAAAAA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仿宋简体" w:eastAsia="方正仿宋简体"/>
          <w:color w:val="auto"/>
          <w:sz w:val="32"/>
          <w:szCs w:val="32"/>
        </w:rPr>
        <w:t>北艺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教</w:t>
      </w:r>
      <w:r>
        <w:rPr>
          <w:rFonts w:hint="eastAsia" w:ascii="方正仿宋简体" w:eastAsia="方正仿宋简体"/>
          <w:color w:val="auto"/>
          <w:sz w:val="32"/>
          <w:szCs w:val="32"/>
        </w:rPr>
        <w:t>发〔20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方正仿宋简体" w:eastAsia="方正仿宋简体"/>
          <w:color w:val="auto"/>
          <w:sz w:val="32"/>
          <w:szCs w:val="32"/>
        </w:rPr>
        <w:t>〕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109</w:t>
      </w:r>
      <w:r>
        <w:rPr>
          <w:rFonts w:hint="eastAsia" w:ascii="方正仿宋简体" w:eastAsia="方正仿宋简体"/>
          <w:color w:val="auto"/>
          <w:sz w:val="32"/>
          <w:szCs w:val="32"/>
        </w:rPr>
        <w:t>号</w:t>
      </w:r>
    </w:p>
    <w:p>
      <w:pPr>
        <w:adjustRightInd w:val="0"/>
        <w:snapToGrid w:val="0"/>
        <w:spacing w:line="570" w:lineRule="exact"/>
        <w:jc w:val="center"/>
        <w:rPr>
          <w:rFonts w:ascii="微软雅黑" w:hAnsi="微软雅黑" w:eastAsia="微软雅黑"/>
          <w:b/>
          <w:bCs/>
          <w:color w:val="000000"/>
          <w:sz w:val="32"/>
          <w:szCs w:val="32"/>
          <w:shd w:val="clear" w:color="auto" w:fill="FFFFFF"/>
        </w:rPr>
      </w:pP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关于印发《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北海艺术设计学院课外辅导答疑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管理办法</w:t>
      </w:r>
      <w:r>
        <w:rPr>
          <w:rFonts w:hint="eastAsia" w:ascii="方正小标宋简体" w:eastAsia="方正小标宋简体"/>
          <w:sz w:val="44"/>
          <w:szCs w:val="44"/>
        </w:rPr>
        <w:t>》的通知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0" w:firstLineChars="0"/>
        <w:jc w:val="center"/>
        <w:textAlignment w:val="auto"/>
        <w:outlineLvl w:val="0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学校各部门、单位：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640" w:firstLineChars="200"/>
        <w:jc w:val="both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为推进和完善教学管理制度，保证课外辅导答疑的到位、有效，进一步加强师生之间的交流和沟通，促进教学互动，提高教学质量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。</w:t>
      </w:r>
      <w:bookmarkStart w:id="7" w:name="_GoBack"/>
      <w:bookmarkEnd w:id="7"/>
      <w:r>
        <w:rPr>
          <w:rFonts w:hint="eastAsia" w:ascii="方正仿宋简体" w:hAnsi="方正仿宋简体" w:eastAsia="方正仿宋简体" w:cs="方正仿宋简体"/>
          <w:sz w:val="32"/>
          <w:szCs w:val="32"/>
        </w:rPr>
        <w:t>学校制定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了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《北海艺术设计学院课外辅导答疑管理办法》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  <w:r>
        <w:rPr>
          <w:rFonts w:hint="eastAsia" w:ascii="方正仿宋简体" w:eastAsia="方正仿宋简体"/>
          <w:color w:val="000000"/>
          <w:sz w:val="32"/>
          <w:szCs w:val="32"/>
        </w:rPr>
        <w:t>现予以</w:t>
      </w:r>
      <w:r>
        <w:rPr>
          <w:rFonts w:hint="eastAsia" w:ascii="方正仿宋简体" w:eastAsia="方正仿宋简体"/>
          <w:color w:val="000000"/>
          <w:sz w:val="32"/>
          <w:szCs w:val="32"/>
          <w:lang w:val="en-US" w:eastAsia="zh-CN"/>
        </w:rPr>
        <w:t>印发</w:t>
      </w:r>
      <w:r>
        <w:rPr>
          <w:rFonts w:hint="eastAsia" w:ascii="方正仿宋简体" w:eastAsia="方正仿宋简体"/>
          <w:color w:val="000000"/>
          <w:sz w:val="32"/>
          <w:szCs w:val="32"/>
        </w:rPr>
        <w:t>，请认真贯彻执行。</w:t>
      </w:r>
    </w:p>
    <w:p>
      <w:pPr>
        <w:spacing w:line="570" w:lineRule="exact"/>
        <w:ind w:right="960" w:firstLine="784" w:firstLineChars="245"/>
        <w:jc w:val="both"/>
        <w:rPr>
          <w:rFonts w:ascii="方正仿宋简体" w:hAnsi="宋体" w:eastAsia="方正仿宋简体"/>
          <w:bCs/>
          <w:kern w:val="0"/>
          <w:sz w:val="32"/>
          <w:szCs w:val="32"/>
        </w:rPr>
      </w:pPr>
    </w:p>
    <w:p>
      <w:pPr>
        <w:spacing w:line="570" w:lineRule="exact"/>
        <w:ind w:right="960" w:firstLine="784" w:firstLineChars="245"/>
        <w:jc w:val="both"/>
        <w:rPr>
          <w:rFonts w:ascii="方正仿宋简体" w:hAnsi="宋体" w:eastAsia="方正仿宋简体"/>
          <w:bCs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0" w:firstLineChars="0"/>
        <w:jc w:val="right"/>
        <w:textAlignment w:val="auto"/>
        <w:rPr>
          <w:rFonts w:hint="default" w:ascii="方正仿宋简体" w:hAnsi="宋体" w:eastAsia="方正仿宋简体"/>
          <w:bCs/>
          <w:sz w:val="32"/>
          <w:szCs w:val="32"/>
          <w:lang w:val="en-US" w:eastAsia="zh-CN"/>
        </w:rPr>
      </w:pPr>
      <w:r>
        <w:rPr>
          <w:rFonts w:hint="eastAsia" w:ascii="方正仿宋简体" w:hAnsi="宋体" w:eastAsia="方正仿宋简体"/>
          <w:bCs/>
          <w:kern w:val="0"/>
          <w:sz w:val="32"/>
          <w:szCs w:val="32"/>
        </w:rPr>
        <w:t>北海艺术设计学院</w:t>
      </w:r>
      <w:r>
        <w:rPr>
          <w:rFonts w:hint="eastAsia" w:ascii="方正仿宋简体" w:hAnsi="宋体" w:eastAsia="方正仿宋简体"/>
          <w:bCs/>
          <w:kern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70" w:lineRule="exact"/>
        <w:ind w:right="0" w:firstLine="0" w:firstLineChars="0"/>
        <w:jc w:val="right"/>
        <w:textAlignment w:val="auto"/>
        <w:rPr>
          <w:rFonts w:hint="default" w:ascii="方正仿宋简体" w:hAnsi="宋体" w:eastAsia="方正仿宋简体"/>
          <w:bCs/>
          <w:sz w:val="32"/>
          <w:szCs w:val="32"/>
          <w:lang w:val="en-US" w:eastAsia="zh-CN"/>
        </w:rPr>
      </w:pPr>
      <w:r>
        <w:rPr>
          <w:rFonts w:hint="eastAsia" w:ascii="方正仿宋简体" w:hAnsi="宋体" w:eastAsia="方正仿宋简体"/>
          <w:bCs/>
          <w:color w:val="auto"/>
          <w:kern w:val="0"/>
          <w:sz w:val="32"/>
          <w:szCs w:val="32"/>
        </w:rPr>
        <w:t>20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21</w:t>
      </w:r>
      <w:r>
        <w:rPr>
          <w:rFonts w:hint="eastAsia" w:ascii="方正仿宋简体" w:hAnsi="宋体" w:eastAsia="方正仿宋简体"/>
          <w:bCs/>
          <w:color w:val="auto"/>
          <w:kern w:val="0"/>
          <w:sz w:val="32"/>
          <w:szCs w:val="32"/>
        </w:rPr>
        <w:t>年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12</w:t>
      </w:r>
      <w:r>
        <w:rPr>
          <w:rFonts w:hint="eastAsia" w:ascii="方正仿宋简体" w:hAnsi="宋体" w:eastAsia="方正仿宋简体"/>
          <w:bCs/>
          <w:color w:val="auto"/>
          <w:kern w:val="0"/>
          <w:sz w:val="32"/>
          <w:szCs w:val="32"/>
        </w:rPr>
        <w:t>月</w:t>
      </w:r>
      <w:r>
        <w:rPr>
          <w:rFonts w:hint="eastAsia" w:ascii="方正仿宋简体" w:eastAsia="方正仿宋简体"/>
          <w:color w:val="auto"/>
          <w:sz w:val="32"/>
          <w:szCs w:val="32"/>
          <w:lang w:val="en-US" w:eastAsia="zh-CN"/>
        </w:rPr>
        <w:t>9</w:t>
      </w:r>
      <w:r>
        <w:rPr>
          <w:rFonts w:hint="eastAsia" w:ascii="方正仿宋简体" w:hAnsi="宋体" w:eastAsia="方正仿宋简体"/>
          <w:bCs/>
          <w:color w:val="auto"/>
          <w:kern w:val="0"/>
          <w:sz w:val="32"/>
          <w:szCs w:val="32"/>
        </w:rPr>
        <w:t>日</w:t>
      </w:r>
      <w:r>
        <w:rPr>
          <w:rFonts w:hint="eastAsia" w:ascii="方正仿宋简体" w:hAnsi="宋体" w:eastAsia="方正仿宋简体"/>
          <w:bCs/>
          <w:color w:val="auto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简体" w:hAnsi="宋体" w:eastAsia="方正仿宋简体"/>
          <w:bCs/>
          <w:kern w:val="0"/>
          <w:sz w:val="32"/>
          <w:szCs w:val="32"/>
          <w:lang w:val="en-US" w:eastAsia="zh-CN"/>
        </w:rPr>
        <w:t xml:space="preserve">  </w:t>
      </w:r>
    </w:p>
    <w:p>
      <w:pPr>
        <w:spacing w:line="560" w:lineRule="exact"/>
        <w:outlineLvl w:val="0"/>
        <w:rPr>
          <w:rFonts w:ascii="宋体" w:hAnsi="宋体"/>
          <w:b/>
          <w:sz w:val="36"/>
          <w:szCs w:val="36"/>
        </w:rPr>
      </w:pPr>
    </w:p>
    <w:p>
      <w:pPr>
        <w:pStyle w:val="14"/>
        <w:spacing w:after="0" w:line="570" w:lineRule="exact"/>
        <w:rPr>
          <w:rFonts w:ascii="方正小标宋简体" w:hAnsi="方正小标宋简体" w:eastAsia="方正小标宋简体" w:cs="方正小标宋简体"/>
          <w:kern w:val="0"/>
          <w:sz w:val="44"/>
          <w:szCs w:val="44"/>
          <w:lang w:bidi="ar"/>
        </w:rPr>
        <w:sectPr>
          <w:footerReference r:id="rId3" w:type="default"/>
          <w:pgSz w:w="11850" w:h="16783"/>
          <w:pgMar w:top="1701" w:right="1587" w:bottom="1701" w:left="1587" w:header="1077" w:footer="848" w:gutter="0"/>
          <w:pgNumType w:fmt="decimal" w:start="1"/>
          <w:cols w:space="720" w:num="1"/>
          <w:docGrid w:linePitch="360" w:charSpace="0"/>
        </w:sectPr>
      </w:pPr>
    </w:p>
    <w:p>
      <w:pPr>
        <w:spacing w:line="570" w:lineRule="exact"/>
        <w:jc w:val="center"/>
        <w:outlineLvl w:val="1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北海艺术设计学院课外辅导答疑管理办法</w:t>
      </w:r>
      <w:bookmarkEnd w:id="1"/>
      <w:bookmarkEnd w:id="2"/>
      <w:bookmarkEnd w:id="3"/>
    </w:p>
    <w:p>
      <w:pPr>
        <w:pStyle w:val="3"/>
        <w:autoSpaceDE/>
        <w:autoSpaceDN/>
        <w:spacing w:line="570" w:lineRule="exact"/>
        <w:ind w:left="0" w:firstLine="0"/>
        <w:jc w:val="center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课外辅导答疑是教师教学工作的一个重要环节，是课堂教学的延伸和拓展，对于巩固课堂教学效果、促进教学质量的提高具有十分重要的意义。为推进和完善教学管理制度，保证课外辅导答疑的到位、有效，进一步加强师生之间的交流和沟通，促进教学互动，提高教学质量，特制定本办法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一、指导思想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按照“统一要求，分散实施，着重效果”的工作思路，通过加强对教师辅导答疑工作的规范管理，规范教师课外教学行为，进一步提高教师的职业责任感，促进教师课外辅导答疑工作的具体落实，改进和提高教师课外辅导答疑的工作质量，促进学校教学质量的稳步提高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二、实施范围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担任专业课、基础课等必修课的教师。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三、实施要求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（一）任课教师辅导答疑工作应当和日常课外指导工作有机结合，旨在检查教师教学效果，帮助学生解除疑难，指导学生创造性地进行学习。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二）任课教师应深入了解和掌握学生的学习情况，做好辅导答疑和补缺扶差等工作，注重启发学生思考、钻研，调动其学习的积极性和主动性，帮助他们改进学习方法。辅导答疑时既要热情帮助基础较差的学生，又要注意满足基础扎实的学生的需要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（三）辅导时要加强对学生学习方法的指导，指导学生制定自学计划，掌握学习规律，合理安排时间，提高学习效率，并教给他们阅读教材、参考书、查阅文献资料的方法。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（四）教师要善于从辅导答疑过程中发现教学工作中存在的问题和不足，及时总结经验，不断改进教学。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四、实施安排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（一）辅导答疑采取现场答疑与网络答疑相结合的形式，现场答疑采用课外排定时间到教室进行答疑的方式；网络答疑采用微信、QQ、学习通等信息化方式，对学生的问题进行解答。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（二）辅导答疑课时安排，原则上每学期48学时以上（含48学时）的课程，每学期安排两次现场辅导；每学期48学时以下的课程，每学期安排一次现场辅导，由任课教师根据实际合理安排现场辅导时间与时长。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三）各开课单位根据课程的性质及学习实际，充分征求任课教师的意见，确定每门课程的辅导时间与辅导时长（按学时计算），汇总各任课教师现场辅导答疑的安排情况（见附件1），期末结束将开展情况上报教务处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宋体" w:eastAsia="方正仿宋简体" w:cs="Times New Roman"/>
          <w:bCs/>
          <w:kern w:val="2"/>
          <w:sz w:val="32"/>
          <w:szCs w:val="32"/>
          <w:lang w:val="en-US" w:bidi="ar-SA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四）任课教师进行辅导答疑后，需收集辅导答疑卡（见附件2）交于开课单位，由各开课单位做好答疑记录和资料保存，以备检查。个别辅导由学生填写辅导答疑卡并签字，集体辅导由教师填写此卡，由班长或学生代表签字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五、检查监督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（一）各开课单位应加强教师课外辅导答疑的管理力度，按本办法要求对教师安排辅导答疑时段的合理性进行审核把关，确保辅导答疑安排的科学合理。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（二）各开课单位要对本单位教师的课外辅导答疑情况进行定期检查，掌握教师课外辅导答疑工作的开展情况，及时了解教师辅导答疑执行中存在的问题，使教师辅导答疑管理办法落到实处。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（三）各开课单位应定期向教师和学生征求意见，完善教师辅导答疑形式，提高教学效果，并以此为契机倡导优良教风、学风。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（四）教师辅导答疑是课程教学的一部分，学校将教师实施“教师辅导答疑”的情况作为教学工作的一项重要的考核指标，纳入学生评教系统。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/>
        </w:rPr>
        <w:t>六、附则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本办法自公布之日起实施，由教务处负责解释。</w:t>
      </w: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</w:p>
    <w:p>
      <w:pPr>
        <w:pStyle w:val="3"/>
        <w:autoSpaceDE/>
        <w:autoSpaceDN/>
        <w:spacing w:line="570" w:lineRule="exact"/>
        <w:ind w:left="0" w:firstLine="640" w:firstLineChars="200"/>
        <w:jc w:val="both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bookmarkStart w:id="4" w:name="_Toc12308"/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附件：1.20XX—20XX学年第XX学期任课教师现场辅导答疑</w:t>
      </w:r>
      <w:bookmarkEnd w:id="4"/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安排表</w:t>
      </w:r>
    </w:p>
    <w:p>
      <w:pPr>
        <w:pStyle w:val="3"/>
        <w:autoSpaceDE/>
        <w:autoSpaceDN/>
        <w:spacing w:line="570" w:lineRule="exact"/>
        <w:ind w:left="119" w:firstLine="1600" w:firstLineChars="500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  <w:t>2.辅导答疑卡</w:t>
      </w:r>
    </w:p>
    <w:p>
      <w:pPr>
        <w:pStyle w:val="3"/>
        <w:autoSpaceDE/>
        <w:autoSpaceDN/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  <w:lang w:val="en-US"/>
        </w:rPr>
      </w:pPr>
    </w:p>
    <w:p>
      <w:pPr>
        <w:pStyle w:val="3"/>
        <w:autoSpaceDE/>
        <w:autoSpaceDN/>
        <w:spacing w:line="57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  <w:lang w:val="en-US"/>
        </w:rPr>
        <w:sectPr>
          <w:pgSz w:w="11910" w:h="16840"/>
          <w:pgMar w:top="1380" w:right="1480" w:bottom="1220" w:left="1480" w:header="0" w:footer="1039" w:gutter="0"/>
          <w:cols w:space="720" w:num="1"/>
        </w:sectPr>
      </w:pPr>
    </w:p>
    <w:p>
      <w:pPr>
        <w:pStyle w:val="3"/>
        <w:autoSpaceDE/>
        <w:autoSpaceDN/>
        <w:spacing w:line="570" w:lineRule="exact"/>
        <w:ind w:left="0" w:firstLine="0"/>
        <w:outlineLvl w:val="2"/>
        <w:rPr>
          <w:rFonts w:ascii="方正仿宋简体" w:hAnsi="宋体" w:eastAsia="方正仿宋简体" w:cs="Times New Roman"/>
          <w:bCs/>
          <w:kern w:val="2"/>
          <w:sz w:val="32"/>
          <w:szCs w:val="32"/>
          <w:lang w:val="en-US" w:bidi="ar-SA"/>
        </w:rPr>
      </w:pPr>
      <w:bookmarkStart w:id="5" w:name="_Toc6379"/>
      <w:r>
        <w:rPr>
          <w:rFonts w:hint="eastAsia" w:ascii="方正仿宋简体" w:hAnsi="宋体" w:eastAsia="方正仿宋简体" w:cs="Times New Roman"/>
          <w:bCs/>
          <w:kern w:val="2"/>
          <w:sz w:val="32"/>
          <w:szCs w:val="32"/>
          <w:lang w:val="en-US" w:bidi="ar-SA"/>
        </w:rPr>
        <w:t>附件1</w:t>
      </w:r>
      <w:bookmarkEnd w:id="5"/>
    </w:p>
    <w:p>
      <w:pPr>
        <w:pStyle w:val="3"/>
        <w:autoSpaceDE/>
        <w:autoSpaceDN/>
        <w:spacing w:line="57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20XX—20XX学年第XX学期任课教师现场辅导答疑安排表</w:t>
      </w:r>
    </w:p>
    <w:p>
      <w:pPr>
        <w:pStyle w:val="3"/>
        <w:autoSpaceDE/>
        <w:autoSpaceDN/>
        <w:spacing w:line="570" w:lineRule="exact"/>
        <w:rPr>
          <w:rFonts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开课单位：</w:t>
      </w:r>
    </w:p>
    <w:tbl>
      <w:tblPr>
        <w:tblStyle w:val="8"/>
        <w:tblW w:w="143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803"/>
        <w:gridCol w:w="1733"/>
        <w:gridCol w:w="3659"/>
        <w:gridCol w:w="1821"/>
        <w:gridCol w:w="1838"/>
        <w:gridCol w:w="1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任课教师</w:t>
            </w: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课程名称</w:t>
            </w: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上课班级</w:t>
            </w: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辅导时间</w:t>
            </w: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辅导时长</w:t>
            </w: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辅导地点</w:t>
            </w: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left="0" w:firstLine="0" w:firstLineChars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例：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XXXX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日</w:t>
            </w:r>
          </w:p>
          <w:p>
            <w:pPr>
              <w:pStyle w:val="3"/>
              <w:autoSpaceDE/>
              <w:autoSpaceDN/>
              <w:spacing w:line="440" w:lineRule="exact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第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XX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周星期</w:t>
            </w: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ind w:left="0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/>
              </w:rPr>
              <w:t>课时</w:t>
            </w: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line="440" w:lineRule="exact"/>
              <w:jc w:val="center"/>
              <w:rPr>
                <w:rFonts w:ascii="宋体" w:hAnsi="宋体" w:eastAsia="宋体" w:cs="宋体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832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0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33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3659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center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21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838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  <w:tc>
          <w:tcPr>
            <w:tcW w:w="1710" w:type="dxa"/>
            <w:vAlign w:val="center"/>
          </w:tcPr>
          <w:p>
            <w:pPr>
              <w:pStyle w:val="3"/>
              <w:autoSpaceDE/>
              <w:autoSpaceDN/>
              <w:spacing w:before="61" w:line="440" w:lineRule="exact"/>
              <w:ind w:right="178"/>
              <w:jc w:val="left"/>
              <w:rPr>
                <w:rFonts w:ascii="宋体" w:hAnsi="宋体" w:eastAsia="宋体" w:cs="宋体"/>
                <w:bCs/>
                <w:kern w:val="2"/>
                <w:sz w:val="24"/>
                <w:szCs w:val="24"/>
                <w:lang w:val="en-US" w:bidi="ar-SA"/>
              </w:rPr>
            </w:pPr>
          </w:p>
        </w:tc>
      </w:tr>
    </w:tbl>
    <w:p>
      <w:pPr>
        <w:pStyle w:val="3"/>
        <w:autoSpaceDE/>
        <w:autoSpaceDN/>
        <w:spacing w:line="570" w:lineRule="exact"/>
        <w:ind w:firstLine="480" w:firstLineChars="200"/>
        <w:rPr>
          <w:rFonts w:ascii="宋体" w:hAnsi="宋体" w:eastAsia="宋体" w:cs="宋体"/>
          <w:bCs/>
          <w:kern w:val="2"/>
          <w:sz w:val="24"/>
          <w:szCs w:val="24"/>
          <w:lang w:val="en-US" w:bidi="ar-SA"/>
        </w:rPr>
      </w:pPr>
      <w:r>
        <w:rPr>
          <w:rFonts w:hint="eastAsia" w:ascii="宋体" w:hAnsi="宋体" w:eastAsia="宋体" w:cs="宋体"/>
          <w:sz w:val="24"/>
          <w:szCs w:val="24"/>
          <w:lang w:val="en-US"/>
        </w:rPr>
        <w:t>注：此表仅供参考，各单位可根据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bidi="ar-SA"/>
        </w:rPr>
        <w:t>实际情况调整和修改。</w:t>
      </w:r>
    </w:p>
    <w:p>
      <w:pPr>
        <w:pStyle w:val="3"/>
        <w:spacing w:before="61" w:line="280" w:lineRule="auto"/>
        <w:ind w:right="178"/>
        <w:rPr>
          <w:rFonts w:ascii="宋体" w:hAnsi="宋体" w:eastAsia="宋体" w:cs="宋体"/>
          <w:bCs/>
          <w:kern w:val="2"/>
          <w:sz w:val="24"/>
          <w:szCs w:val="24"/>
          <w:lang w:val="en-US" w:bidi="ar-SA"/>
        </w:rPr>
      </w:pPr>
    </w:p>
    <w:p>
      <w:pPr>
        <w:pStyle w:val="3"/>
        <w:autoSpaceDE/>
        <w:autoSpaceDN/>
        <w:spacing w:line="570" w:lineRule="exact"/>
        <w:ind w:firstLine="480" w:firstLineChars="200"/>
        <w:rPr>
          <w:rFonts w:ascii="宋体" w:hAnsi="宋体" w:eastAsia="宋体" w:cs="宋体"/>
          <w:sz w:val="24"/>
          <w:szCs w:val="24"/>
          <w:lang w:val="en-US"/>
        </w:rPr>
        <w:sectPr>
          <w:footerReference r:id="rId4" w:type="default"/>
          <w:pgSz w:w="16838" w:h="11906" w:orient="landscape"/>
          <w:pgMar w:top="1587" w:right="1701" w:bottom="1588" w:left="1701" w:header="851" w:footer="595" w:gutter="0"/>
          <w:cols w:space="720" w:num="1"/>
          <w:docGrid w:type="lines" w:linePitch="312" w:charSpace="0"/>
        </w:sectPr>
      </w:pPr>
    </w:p>
    <w:p>
      <w:pPr>
        <w:pStyle w:val="3"/>
        <w:autoSpaceDE/>
        <w:autoSpaceDN/>
        <w:spacing w:after="156" w:afterLines="50" w:line="570" w:lineRule="exact"/>
        <w:ind w:left="0" w:firstLine="0"/>
        <w:outlineLvl w:val="2"/>
        <w:rPr>
          <w:rFonts w:ascii="方正仿宋简体" w:hAnsi="宋体" w:eastAsia="方正仿宋简体" w:cs="Times New Roman"/>
          <w:bCs/>
          <w:kern w:val="2"/>
          <w:sz w:val="32"/>
          <w:szCs w:val="32"/>
          <w:lang w:val="en-US" w:bidi="ar-SA"/>
        </w:rPr>
      </w:pPr>
      <w:bookmarkStart w:id="6" w:name="_Toc12082"/>
      <w:r>
        <w:rPr>
          <w:rFonts w:hint="eastAsia" w:ascii="方正仿宋简体" w:hAnsi="宋体" w:eastAsia="方正仿宋简体" w:cs="Times New Roman"/>
          <w:bCs/>
          <w:kern w:val="2"/>
          <w:sz w:val="32"/>
          <w:szCs w:val="32"/>
          <w:lang w:val="en-US" w:bidi="ar-SA"/>
        </w:rPr>
        <w:t>附件2</w:t>
      </w:r>
      <w:bookmarkEnd w:id="6"/>
    </w:p>
    <w:p>
      <w:pPr>
        <w:pStyle w:val="3"/>
        <w:autoSpaceDE/>
        <w:autoSpaceDN/>
        <w:spacing w:after="0" w:afterLines="0" w:line="570" w:lineRule="exact"/>
        <w:ind w:left="119" w:firstLine="561"/>
        <w:jc w:val="center"/>
        <w:rPr>
          <w:rFonts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  <w:t>辅导答疑卡</w:t>
      </w:r>
    </w:p>
    <w:tbl>
      <w:tblPr>
        <w:tblStyle w:val="11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9"/>
        <w:gridCol w:w="2873"/>
        <w:gridCol w:w="1700"/>
        <w:gridCol w:w="21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1769" w:type="dxa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任课教师</w:t>
            </w:r>
          </w:p>
        </w:tc>
        <w:tc>
          <w:tcPr>
            <w:tcW w:w="2873" w:type="dxa"/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辅导方式</w:t>
            </w:r>
          </w:p>
        </w:tc>
        <w:tc>
          <w:tcPr>
            <w:tcW w:w="2176" w:type="dxa"/>
            <w:vAlign w:val="center"/>
          </w:tcPr>
          <w:p>
            <w:pPr>
              <w:pStyle w:val="3"/>
              <w:spacing w:before="61" w:line="280" w:lineRule="auto"/>
              <w:ind w:left="0"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现场辅导□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1769" w:type="dxa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辅导班级</w:t>
            </w:r>
          </w:p>
        </w:tc>
        <w:tc>
          <w:tcPr>
            <w:tcW w:w="2873" w:type="dxa"/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  <w:tc>
          <w:tcPr>
            <w:tcW w:w="2176" w:type="dxa"/>
            <w:vAlign w:val="center"/>
          </w:tcPr>
          <w:p>
            <w:pPr>
              <w:pStyle w:val="3"/>
              <w:spacing w:before="61" w:line="280" w:lineRule="auto"/>
              <w:ind w:left="0"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网络辅导□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1769" w:type="dxa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课程名称</w:t>
            </w:r>
          </w:p>
        </w:tc>
        <w:tc>
          <w:tcPr>
            <w:tcW w:w="2873" w:type="dxa"/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  <w:tc>
          <w:tcPr>
            <w:tcW w:w="1700" w:type="dxa"/>
            <w:vMerge w:val="restart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辅导类型</w:t>
            </w:r>
          </w:p>
        </w:tc>
        <w:tc>
          <w:tcPr>
            <w:tcW w:w="2176" w:type="dxa"/>
            <w:vAlign w:val="center"/>
          </w:tcPr>
          <w:p>
            <w:pPr>
              <w:pStyle w:val="3"/>
              <w:spacing w:before="61" w:line="280" w:lineRule="auto"/>
              <w:ind w:left="0"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个别辅导□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1769" w:type="dxa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辅导时间</w:t>
            </w:r>
          </w:p>
        </w:tc>
        <w:tc>
          <w:tcPr>
            <w:tcW w:w="2873" w:type="dxa"/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  <w:tc>
          <w:tcPr>
            <w:tcW w:w="1700" w:type="dxa"/>
            <w:vMerge w:val="continue"/>
            <w:tcBorders>
              <w:top w:val="nil"/>
            </w:tcBorders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  <w:tc>
          <w:tcPr>
            <w:tcW w:w="2176" w:type="dxa"/>
            <w:vAlign w:val="center"/>
          </w:tcPr>
          <w:p>
            <w:pPr>
              <w:pStyle w:val="3"/>
              <w:spacing w:before="61" w:line="280" w:lineRule="auto"/>
              <w:ind w:left="0"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集体辅导□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  <w:jc w:val="center"/>
        </w:trPr>
        <w:tc>
          <w:tcPr>
            <w:tcW w:w="1769" w:type="dxa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辅导时长</w:t>
            </w:r>
          </w:p>
        </w:tc>
        <w:tc>
          <w:tcPr>
            <w:tcW w:w="2873" w:type="dxa"/>
            <w:vAlign w:val="center"/>
          </w:tcPr>
          <w:p>
            <w:pPr>
              <w:pStyle w:val="3"/>
              <w:spacing w:before="61" w:line="280" w:lineRule="auto"/>
              <w:ind w:left="0"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学时</w:t>
            </w:r>
          </w:p>
        </w:tc>
        <w:tc>
          <w:tcPr>
            <w:tcW w:w="1700" w:type="dxa"/>
            <w:vAlign w:val="center"/>
          </w:tcPr>
          <w:p>
            <w:pPr>
              <w:pStyle w:val="3"/>
              <w:spacing w:before="61" w:line="280" w:lineRule="auto"/>
              <w:ind w:right="178" w:firstLine="0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辅导地点</w:t>
            </w:r>
          </w:p>
        </w:tc>
        <w:tc>
          <w:tcPr>
            <w:tcW w:w="2176" w:type="dxa"/>
            <w:vAlign w:val="center"/>
          </w:tcPr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8518" w:type="dxa"/>
            <w:gridSpan w:val="4"/>
          </w:tcPr>
          <w:p>
            <w:pPr>
              <w:pStyle w:val="3"/>
              <w:spacing w:before="61" w:line="280" w:lineRule="auto"/>
              <w:ind w:right="178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en-US"/>
              </w:rPr>
              <w:t>辅导内容及辅导情况：</w:t>
            </w: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left="0" w:right="178" w:firstLine="0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left="0" w:right="178" w:firstLine="0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center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tbl>
            <w:tblPr>
              <w:tblStyle w:val="11"/>
              <w:tblW w:w="0" w:type="auto"/>
              <w:tblInd w:w="5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668"/>
              <w:gridCol w:w="2697"/>
              <w:gridCol w:w="1555"/>
              <w:gridCol w:w="2602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0" w:hRule="atLeast"/>
              </w:trPr>
              <w:tc>
                <w:tcPr>
                  <w:tcW w:w="1668" w:type="dxa"/>
                </w:tcPr>
                <w:p>
                  <w:pPr>
                    <w:pStyle w:val="3"/>
                    <w:spacing w:before="61" w:line="280" w:lineRule="auto"/>
                    <w:ind w:right="178" w:firstLine="0"/>
                    <w:jc w:val="center"/>
                    <w:rPr>
                      <w:rFonts w:ascii="宋体" w:hAnsi="宋体" w:eastAsia="宋体" w:cs="宋体"/>
                      <w:sz w:val="24"/>
                      <w:szCs w:val="24"/>
                      <w:lang w:val="en-US" w:eastAsia="en-US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en-US"/>
                    </w:rPr>
                    <w:t>教师签字</w:t>
                  </w:r>
                </w:p>
              </w:tc>
              <w:tc>
                <w:tcPr>
                  <w:tcW w:w="2697" w:type="dxa"/>
                </w:tcPr>
                <w:p>
                  <w:pPr>
                    <w:pStyle w:val="3"/>
                    <w:spacing w:before="61" w:line="280" w:lineRule="auto"/>
                    <w:ind w:right="178"/>
                    <w:jc w:val="center"/>
                    <w:rPr>
                      <w:rFonts w:ascii="宋体" w:hAnsi="宋体" w:eastAsia="宋体" w:cs="宋体"/>
                      <w:sz w:val="24"/>
                      <w:szCs w:val="24"/>
                      <w:lang w:val="en-US" w:eastAsia="en-US"/>
                    </w:rPr>
                  </w:pPr>
                </w:p>
              </w:tc>
              <w:tc>
                <w:tcPr>
                  <w:tcW w:w="1555" w:type="dxa"/>
                </w:tcPr>
                <w:p>
                  <w:pPr>
                    <w:pStyle w:val="3"/>
                    <w:spacing w:before="61" w:line="280" w:lineRule="auto"/>
                    <w:ind w:right="178" w:firstLine="0"/>
                    <w:jc w:val="center"/>
                    <w:rPr>
                      <w:rFonts w:ascii="宋体" w:hAnsi="宋体" w:eastAsia="宋体" w:cs="宋体"/>
                      <w:sz w:val="24"/>
                      <w:szCs w:val="24"/>
                      <w:lang w:val="en-US" w:eastAsia="en-US"/>
                    </w:rPr>
                  </w:pPr>
                  <w:r>
                    <w:rPr>
                      <w:rFonts w:hint="eastAsia" w:ascii="宋体" w:hAnsi="宋体" w:eastAsia="宋体" w:cs="宋体"/>
                      <w:sz w:val="24"/>
                      <w:szCs w:val="24"/>
                      <w:lang w:val="en-US" w:eastAsia="en-US"/>
                    </w:rPr>
                    <w:t>学生签字</w:t>
                  </w:r>
                </w:p>
              </w:tc>
              <w:tc>
                <w:tcPr>
                  <w:tcW w:w="2602" w:type="dxa"/>
                </w:tcPr>
                <w:p>
                  <w:pPr>
                    <w:pStyle w:val="3"/>
                    <w:spacing w:before="61" w:line="280" w:lineRule="auto"/>
                    <w:ind w:right="178"/>
                    <w:jc w:val="center"/>
                    <w:rPr>
                      <w:rFonts w:ascii="宋体" w:hAnsi="宋体" w:eastAsia="宋体" w:cs="宋体"/>
                      <w:sz w:val="24"/>
                      <w:szCs w:val="24"/>
                      <w:lang w:val="en-US" w:eastAsia="en-US"/>
                    </w:rPr>
                  </w:pPr>
                </w:p>
              </w:tc>
            </w:tr>
          </w:tbl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  <w:p>
            <w:pPr>
              <w:pStyle w:val="3"/>
              <w:spacing w:before="61" w:line="280" w:lineRule="auto"/>
              <w:ind w:right="178"/>
              <w:jc w:val="both"/>
              <w:rPr>
                <w:rFonts w:ascii="宋体" w:hAnsi="宋体" w:eastAsia="宋体" w:cs="宋体"/>
                <w:sz w:val="24"/>
                <w:szCs w:val="24"/>
                <w:lang w:val="en-US" w:eastAsia="en-US"/>
              </w:rPr>
            </w:pPr>
          </w:p>
        </w:tc>
      </w:tr>
    </w:tbl>
    <w:p/>
    <w:sectPr>
      <w:pgSz w:w="11906" w:h="16838"/>
      <w:pgMar w:top="1701" w:right="1587" w:bottom="170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9" name="文本框 26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LNJWO7QAAAABQEAAA8AAAAAAAAAAQAgAAAAIgAAAGRycy9kb3ducmV2LnhtbFBLAQIUABQAAAAI&#10;AIdO4kAR0pdWLgIAAFkEAAAOAAAAAAAAAAEAIAAAAB8BAABkcnMvZTJvRG9jLnhtbFBLBQYAAAAA&#10;BgAGAFkBAAC/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